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9D" w:rsidRPr="00F6049D" w:rsidRDefault="00F6049D" w:rsidP="00257BAE">
      <w:pPr>
        <w:ind w:firstLineChars="900" w:firstLine="2891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F6049D">
        <w:rPr>
          <w:rFonts w:cs="宋体" w:hint="eastAsia"/>
          <w:b/>
          <w:bCs/>
          <w:sz w:val="32"/>
          <w:szCs w:val="32"/>
        </w:rPr>
        <w:t>会议议程</w:t>
      </w:r>
      <w:r w:rsidR="00257BAE">
        <w:rPr>
          <w:rFonts w:cs="宋体" w:hint="eastAsia"/>
          <w:b/>
          <w:bCs/>
          <w:sz w:val="32"/>
          <w:szCs w:val="32"/>
        </w:rPr>
        <w:t>（拟）</w:t>
      </w:r>
    </w:p>
    <w:p w:rsidR="00965675" w:rsidRDefault="00965675" w:rsidP="00965675">
      <w:pPr>
        <w:spacing w:line="500" w:lineRule="exact"/>
        <w:rPr>
          <w:rFonts w:asciiTheme="majorEastAsia" w:eastAsiaTheme="majorEastAsia" w:hAnsiTheme="majorEastAsia" w:cstheme="majorEastAsia" w:hint="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>主要安排：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20" w:lineRule="atLeast"/>
        <w:ind w:firstLine="422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2"/>
          <w:szCs w:val="21"/>
        </w:rPr>
        <w:t>一、13:00-13:50</w:t>
      </w:r>
      <w:r>
        <w:rPr>
          <w:rFonts w:asciiTheme="majorEastAsia" w:eastAsiaTheme="majorEastAsia" w:hAnsiTheme="majorEastAsia" w:cstheme="majorEastAsia" w:hint="eastAsia"/>
          <w:kern w:val="2"/>
          <w:szCs w:val="21"/>
        </w:rPr>
        <w:t> </w:t>
      </w:r>
      <w:r>
        <w:rPr>
          <w:rFonts w:asciiTheme="majorEastAsia" w:eastAsiaTheme="majorEastAsia" w:hAnsiTheme="majorEastAsia" w:cstheme="majorEastAsia" w:hint="eastAsia"/>
          <w:b/>
          <w:kern w:val="2"/>
          <w:szCs w:val="21"/>
        </w:rPr>
        <w:t>会议签到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20" w:lineRule="atLeast"/>
        <w:ind w:firstLine="422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2"/>
          <w:szCs w:val="21"/>
        </w:rPr>
        <w:t>二、14:00-17:30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20" w:lineRule="atLeast"/>
        <w:ind w:firstLineChars="100" w:firstLine="24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(</w:t>
      </w:r>
      <w:proofErr w:type="gramStart"/>
      <w:r>
        <w:rPr>
          <w:rFonts w:asciiTheme="majorEastAsia" w:eastAsiaTheme="majorEastAsia" w:hAnsiTheme="majorEastAsia" w:cstheme="majorEastAsia" w:hint="eastAsia"/>
          <w:kern w:val="2"/>
          <w:szCs w:val="21"/>
        </w:rPr>
        <w:t>一</w:t>
      </w:r>
      <w:proofErr w:type="gramEnd"/>
      <w:r>
        <w:rPr>
          <w:rFonts w:asciiTheme="majorEastAsia" w:eastAsiaTheme="majorEastAsia" w:hAnsiTheme="majorEastAsia" w:cstheme="majorEastAsia" w:hint="eastAsia"/>
          <w:kern w:val="2"/>
          <w:szCs w:val="21"/>
        </w:rPr>
        <w:t>)审议2016年工作总结和2017年工作规划的报告； 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100" w:firstLine="24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 xml:space="preserve">(二)授牌颁奖颁证 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1、授牌——上海有色金属行业协会  企业内高技能人才培养评价实施单位；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2、颁奖——2016年节能减排（JJ）小组活动优秀组织奖；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        2016年节能减排（JJ）小组活动先进集体奖；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3、颁证——获得2016年度国家职业能力资格高级技师、技师。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100" w:firstLine="24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（三）领导讲话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100" w:firstLine="24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（四）专题演讲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1、中共上海市经济和信息化委员会党委秘书长肖文高（拟）——上海制造业的供给侧结构性改革的定位与选择；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2、复旦大学法学院教授、上海WTO事务咨询中心总监龚柏华——国际贸易投资政策变化中的上海机遇和挑战；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80" w:lineRule="atLeast"/>
        <w:ind w:firstLineChars="200" w:firstLine="480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kern w:val="2"/>
          <w:szCs w:val="21"/>
        </w:rPr>
        <w:t>3、建信期货有限责任公司大宗商品事业部总经理徐晓路——建信期货大宗商品衍生品多元化联动创新初探。</w:t>
      </w:r>
    </w:p>
    <w:p w:rsidR="00965675" w:rsidRDefault="00965675" w:rsidP="00965675">
      <w:pPr>
        <w:pStyle w:val="a4"/>
        <w:widowControl/>
        <w:shd w:val="clear" w:color="auto" w:fill="FFFFFF"/>
        <w:spacing w:before="0" w:beforeAutospacing="0" w:after="0" w:afterAutospacing="0" w:line="420" w:lineRule="atLeast"/>
        <w:ind w:firstLine="422"/>
        <w:rPr>
          <w:rFonts w:asciiTheme="majorEastAsia" w:eastAsiaTheme="majorEastAsia" w:hAnsiTheme="majorEastAsia" w:cstheme="majorEastAsia" w:hint="eastAsia"/>
          <w:kern w:val="2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2"/>
          <w:szCs w:val="21"/>
        </w:rPr>
        <w:t>三、17:30-19:00</w:t>
      </w:r>
      <w:r>
        <w:rPr>
          <w:rFonts w:asciiTheme="majorEastAsia" w:eastAsiaTheme="majorEastAsia" w:hAnsiTheme="majorEastAsia" w:cstheme="majorEastAsia" w:hint="eastAsia"/>
          <w:kern w:val="2"/>
          <w:szCs w:val="21"/>
        </w:rPr>
        <w:t> </w:t>
      </w:r>
      <w:r>
        <w:rPr>
          <w:rFonts w:asciiTheme="majorEastAsia" w:eastAsiaTheme="majorEastAsia" w:hAnsiTheme="majorEastAsia" w:cstheme="majorEastAsia" w:hint="eastAsia"/>
          <w:b/>
          <w:kern w:val="2"/>
          <w:szCs w:val="21"/>
        </w:rPr>
        <w:t>招待晚宴</w:t>
      </w:r>
      <w:r>
        <w:rPr>
          <w:rFonts w:asciiTheme="majorEastAsia" w:eastAsiaTheme="majorEastAsia" w:hAnsiTheme="majorEastAsia" w:cstheme="majorEastAsia" w:hint="eastAsia"/>
          <w:kern w:val="2"/>
          <w:szCs w:val="21"/>
        </w:rPr>
        <w:t> </w:t>
      </w:r>
    </w:p>
    <w:p w:rsidR="00965675" w:rsidRDefault="00965675" w:rsidP="00965675">
      <w:pPr>
        <w:spacing w:line="500" w:lineRule="exact"/>
        <w:rPr>
          <w:rFonts w:asciiTheme="majorEastAsia" w:eastAsiaTheme="majorEastAsia" w:hAnsiTheme="majorEastAsia" w:cstheme="majorEastAsia" w:hint="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</w:t>
      </w:r>
    </w:p>
    <w:p w:rsidR="00CC4635" w:rsidRPr="00F6049D" w:rsidRDefault="00CC4635" w:rsidP="00965675">
      <w:pPr>
        <w:spacing w:line="500" w:lineRule="exact"/>
        <w:rPr>
          <w:sz w:val="28"/>
          <w:szCs w:val="28"/>
        </w:rPr>
      </w:pPr>
    </w:p>
    <w:sectPr w:rsidR="00CC4635" w:rsidRPr="00F60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7A"/>
    <w:multiLevelType w:val="hybridMultilevel"/>
    <w:tmpl w:val="24982F50"/>
    <w:lvl w:ilvl="0" w:tplc="C554AB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84FAC1F"/>
    <w:multiLevelType w:val="singleLevel"/>
    <w:tmpl w:val="584FAC1F"/>
    <w:lvl w:ilvl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2D"/>
    <w:rsid w:val="00257BAE"/>
    <w:rsid w:val="00965675"/>
    <w:rsid w:val="009A052D"/>
    <w:rsid w:val="00CC4635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E1B49-AEE4-4B2D-B616-D246A8F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9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9D"/>
    <w:pPr>
      <w:ind w:firstLineChars="200" w:firstLine="420"/>
    </w:pPr>
  </w:style>
  <w:style w:type="paragraph" w:styleId="a4">
    <w:name w:val="Normal (Web)"/>
    <w:basedOn w:val="a"/>
    <w:semiHidden/>
    <w:unhideWhenUsed/>
    <w:rsid w:val="00965675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 HSU</dc:creator>
  <cp:keywords/>
  <dc:description/>
  <cp:lastModifiedBy>ECHO HSU</cp:lastModifiedBy>
  <cp:revision>3</cp:revision>
  <dcterms:created xsi:type="dcterms:W3CDTF">2016-12-14T02:10:00Z</dcterms:created>
  <dcterms:modified xsi:type="dcterms:W3CDTF">2016-12-27T05:22:00Z</dcterms:modified>
</cp:coreProperties>
</file>