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60" w:lineRule="atLeast"/>
        <w:jc w:val="center"/>
        <w:rPr>
          <w:rFonts w:hint="eastAsia" w:ascii="宋体" w:hAnsi="宋体" w:cs="微软雅黑"/>
          <w:color w:val="000000"/>
          <w:sz w:val="28"/>
          <w:szCs w:val="28"/>
        </w:rPr>
      </w:pPr>
      <w:bookmarkStart w:id="0" w:name="_GoBack"/>
      <w:r>
        <w:rPr>
          <w:rFonts w:hint="eastAsia" w:ascii="楷体_GB2312" w:hAnsi="宋体" w:eastAsia="楷体_GB2312" w:cs="微软雅黑"/>
          <w:b/>
          <w:color w:val="000000"/>
          <w:sz w:val="32"/>
          <w:szCs w:val="32"/>
        </w:rPr>
        <w:t>“贯标”与企业发展的关联和意义</w:t>
      </w:r>
    </w:p>
    <w:bookmarkEnd w:id="0"/>
    <w:p>
      <w:pPr>
        <w:pStyle w:val="2"/>
        <w:widowControl/>
        <w:spacing w:before="0" w:beforeAutospacing="0" w:after="0" w:afterAutospacing="0" w:line="360" w:lineRule="atLeast"/>
        <w:ind w:firstLine="560" w:firstLineChars="200"/>
        <w:rPr>
          <w:rFonts w:hint="eastAsia" w:ascii="楷体_GB2312" w:hAnsi="宋体" w:eastAsia="楷体_GB2312" w:cs="微软雅黑"/>
          <w:color w:val="000000"/>
          <w:sz w:val="28"/>
          <w:szCs w:val="28"/>
        </w:rPr>
      </w:pPr>
      <w:r>
        <w:rPr>
          <w:rFonts w:hint="eastAsia" w:ascii="楷体_GB2312" w:hAnsi="宋体" w:eastAsia="楷体_GB2312" w:cs="微软雅黑"/>
          <w:color w:val="000000"/>
          <w:sz w:val="28"/>
          <w:szCs w:val="28"/>
        </w:rPr>
        <w:t>2013年2月7日，我国首部企业知识产权管理国家标准《企业知识产权管理规范》（以下简称为《规范》）由国家质量监督检验检疫局、国家标准化管理委员会发布，标准号为GB/T29490-2013，实施日期为2013年3月1日。企业申请通过《企业知识产权管理规范》的认证过程，简称为</w:t>
      </w:r>
      <w:r>
        <w:rPr>
          <w:rFonts w:hint="eastAsia" w:ascii="楷体_GB2312" w:hAnsi="宋体" w:eastAsia="楷体_GB2312" w:cs="微软雅黑"/>
          <w:b/>
          <w:color w:val="000000"/>
          <w:sz w:val="28"/>
          <w:szCs w:val="28"/>
        </w:rPr>
        <w:t>“贯标”</w:t>
      </w:r>
      <w:r>
        <w:rPr>
          <w:rFonts w:hint="eastAsia" w:ascii="楷体_GB2312" w:hAnsi="宋体" w:eastAsia="楷体_GB2312" w:cs="微软雅黑"/>
          <w:color w:val="000000"/>
          <w:sz w:val="28"/>
          <w:szCs w:val="28"/>
        </w:rPr>
        <w:t>。它与目前社会上常见的认证体系“ISO14001环境管理体系”、“HSMS18001职业健康安全管理体系”、“QS9000 质量体系”等都具有国家级的认证资质。</w:t>
      </w:r>
    </w:p>
    <w:p>
      <w:pPr>
        <w:pStyle w:val="2"/>
        <w:widowControl/>
        <w:spacing w:before="0" w:beforeAutospacing="0" w:after="0" w:afterAutospacing="0" w:line="360" w:lineRule="atLeast"/>
        <w:ind w:firstLine="560" w:firstLineChars="200"/>
        <w:rPr>
          <w:rFonts w:hint="eastAsia" w:ascii="楷体_GB2312" w:hAnsi="宋体" w:eastAsia="楷体_GB2312" w:cs="微软雅黑"/>
          <w:color w:val="000000"/>
          <w:sz w:val="28"/>
          <w:szCs w:val="28"/>
        </w:rPr>
      </w:pPr>
      <w:r>
        <w:rPr>
          <w:rFonts w:hint="eastAsia" w:ascii="楷体_GB2312" w:hAnsi="宋体" w:eastAsia="楷体_GB2312" w:cs="微软雅黑"/>
          <w:color w:val="000000"/>
          <w:sz w:val="28"/>
          <w:szCs w:val="28"/>
        </w:rPr>
        <w:t>《规范》要求企业发挥自主能动性，由企业的经营方向和市场战略来指导知识产权的产生，将知识产权的申请、保护、运用、维护等渗透到企业的各个部门，进而避免在生产或销售的各个环节因知识产权管理不完善造成知识产权相关权利的侵权行为，导致企业产生侵权赔偿、商业秘密泄露等经济损失。</w:t>
      </w:r>
    </w:p>
    <w:p>
      <w:pPr>
        <w:pStyle w:val="2"/>
        <w:widowControl/>
        <w:spacing w:before="0" w:beforeAutospacing="0" w:after="0" w:afterAutospacing="0" w:line="360" w:lineRule="atLeast"/>
        <w:ind w:firstLine="562" w:firstLineChars="200"/>
        <w:rPr>
          <w:rFonts w:hint="eastAsia" w:ascii="楷体_GB2312" w:hAnsi="宋体" w:eastAsia="楷体_GB2312" w:cs="微软雅黑"/>
          <w:b/>
          <w:color w:val="000000"/>
          <w:sz w:val="28"/>
          <w:szCs w:val="28"/>
        </w:rPr>
      </w:pPr>
      <w:r>
        <w:rPr>
          <w:rFonts w:hint="eastAsia" w:ascii="楷体_GB2312" w:hAnsi="宋体" w:eastAsia="楷体_GB2312" w:cs="微软雅黑"/>
          <w:b/>
          <w:color w:val="000000"/>
          <w:sz w:val="28"/>
          <w:szCs w:val="28"/>
        </w:rPr>
        <w:t>“贯标”的意义有以下三个方面：</w:t>
      </w:r>
    </w:p>
    <w:p>
      <w:pPr>
        <w:pStyle w:val="2"/>
        <w:widowControl/>
        <w:spacing w:before="0" w:beforeAutospacing="0" w:after="0" w:afterAutospacing="0" w:line="360" w:lineRule="atLeast"/>
        <w:ind w:firstLine="562" w:firstLineChars="200"/>
        <w:rPr>
          <w:rFonts w:hint="eastAsia" w:ascii="楷体_GB2312" w:hAnsi="宋体" w:eastAsia="楷体_GB2312" w:cs="微软雅黑"/>
          <w:b/>
          <w:color w:val="000000"/>
          <w:sz w:val="28"/>
          <w:szCs w:val="28"/>
        </w:rPr>
      </w:pPr>
      <w:r>
        <w:rPr>
          <w:rFonts w:hint="eastAsia" w:ascii="楷体_GB2312" w:hAnsi="宋体" w:eastAsia="楷体_GB2312" w:cs="微软雅黑"/>
          <w:b/>
          <w:color w:val="000000"/>
          <w:sz w:val="28"/>
          <w:szCs w:val="28"/>
        </w:rPr>
        <w:t>1、“贯标”与通过国家高新技术企业认定的关系</w:t>
      </w:r>
    </w:p>
    <w:p>
      <w:pPr>
        <w:pStyle w:val="2"/>
        <w:widowControl/>
        <w:spacing w:before="0" w:beforeAutospacing="0" w:after="0" w:afterAutospacing="0" w:line="360" w:lineRule="atLeast"/>
        <w:ind w:firstLine="555"/>
        <w:rPr>
          <w:rFonts w:hint="eastAsia" w:ascii="楷体_GB2312" w:hAnsi="楷体" w:eastAsia="楷体_GB2312" w:cs="楷体"/>
          <w:color w:val="000000"/>
          <w:sz w:val="28"/>
          <w:szCs w:val="28"/>
        </w:rPr>
      </w:pPr>
      <w:r>
        <w:rPr>
          <w:rFonts w:hint="eastAsia" w:ascii="楷体_GB2312" w:hAnsi="宋体" w:eastAsia="楷体_GB2312" w:cs="微软雅黑"/>
          <w:color w:val="000000"/>
          <w:sz w:val="28"/>
          <w:szCs w:val="28"/>
        </w:rPr>
        <w:t>2016版《高新技术企业认定评分标准》加大了知识产权在企业创新要求的份量：在原知识产权评分项30分基础上,首次将企业通过“贯标”作为知识产权评分的加分项。同时在</w:t>
      </w:r>
      <w:r>
        <w:rPr>
          <w:rFonts w:hint="eastAsia" w:ascii="楷体_GB2312" w:hAnsi="楷体" w:eastAsia="楷体_GB2312" w:cs="楷体"/>
          <w:color w:val="000000"/>
          <w:sz w:val="28"/>
          <w:szCs w:val="28"/>
          <w:shd w:val="clear" w:color="auto" w:fill="FFFFFF"/>
        </w:rPr>
        <w:t>研究开发组织管理水平的评分从20分增加到30分,其中涉及从研发到销售的员工激励制度和员工培训,产学研协议和合同管理等内容,将成为企业能否通过高新的关键</w:t>
      </w:r>
      <w:r>
        <w:rPr>
          <w:rFonts w:hint="eastAsia" w:ascii="楷体_GB2312" w:hAnsi="楷体" w:eastAsia="楷体_GB2312" w:cs="楷体"/>
          <w:color w:val="000000"/>
          <w:sz w:val="28"/>
          <w:szCs w:val="28"/>
        </w:rPr>
        <w:t>。</w:t>
      </w:r>
    </w:p>
    <w:p>
      <w:pPr>
        <w:pStyle w:val="2"/>
        <w:widowControl/>
        <w:spacing w:before="0" w:beforeAutospacing="0" w:after="0" w:afterAutospacing="0" w:line="360" w:lineRule="atLeast"/>
        <w:ind w:firstLine="555"/>
        <w:rPr>
          <w:rFonts w:hint="eastAsia" w:ascii="楷体_GB2312" w:hAnsi="宋体" w:eastAsia="楷体_GB2312" w:cs="微软雅黑"/>
          <w:color w:val="000000"/>
          <w:sz w:val="28"/>
          <w:szCs w:val="28"/>
        </w:rPr>
      </w:pPr>
      <w:r>
        <w:rPr>
          <w:rFonts w:hint="eastAsia" w:ascii="楷体_GB2312" w:hAnsi="宋体" w:eastAsia="楷体_GB2312" w:cs="微软雅黑"/>
          <w:color w:val="000000"/>
          <w:sz w:val="28"/>
          <w:szCs w:val="28"/>
        </w:rPr>
        <w:t>对于销售型或者应用型（非研发型）的企业，可能很少有自身工作过程中产生的专利，但只要这些企业在经营过程中各个环节注重运用知识产权，在销售过程中，注意规避知识产权侵权行为等，那么仍然可以通过贯标的认证，进而成为高新技术企业。</w:t>
      </w:r>
    </w:p>
    <w:p>
      <w:pPr>
        <w:pStyle w:val="2"/>
        <w:widowControl/>
        <w:spacing w:before="0" w:beforeAutospacing="0" w:after="0" w:afterAutospacing="0" w:line="360" w:lineRule="atLeast"/>
        <w:ind w:firstLine="562" w:firstLineChars="200"/>
        <w:rPr>
          <w:rFonts w:hint="eastAsia" w:ascii="楷体_GB2312" w:hAnsi="宋体" w:eastAsia="楷体_GB2312" w:cs="微软雅黑"/>
          <w:b/>
          <w:color w:val="000000"/>
          <w:sz w:val="28"/>
          <w:szCs w:val="28"/>
        </w:rPr>
      </w:pPr>
      <w:r>
        <w:rPr>
          <w:rFonts w:hint="eastAsia" w:ascii="楷体_GB2312" w:hAnsi="宋体" w:eastAsia="楷体_GB2312" w:cs="微软雅黑"/>
          <w:b/>
          <w:color w:val="000000"/>
          <w:sz w:val="28"/>
          <w:szCs w:val="28"/>
        </w:rPr>
        <w:t>2、上海在“贯标”工作的激励措施</w:t>
      </w:r>
    </w:p>
    <w:p>
      <w:pPr>
        <w:pStyle w:val="2"/>
        <w:widowControl/>
        <w:spacing w:before="0" w:beforeAutospacing="0" w:after="0" w:afterAutospacing="0" w:line="360" w:lineRule="atLeast"/>
        <w:ind w:firstLine="560" w:firstLineChars="200"/>
        <w:rPr>
          <w:rFonts w:hint="eastAsia" w:ascii="楷体_GB2312" w:hAnsi="宋体" w:eastAsia="楷体_GB2312" w:cs="微软雅黑"/>
          <w:color w:val="000000"/>
          <w:sz w:val="28"/>
          <w:szCs w:val="28"/>
        </w:rPr>
      </w:pPr>
      <w:r>
        <w:rPr>
          <w:rFonts w:hint="eastAsia" w:ascii="楷体_GB2312" w:hAnsi="宋体" w:eastAsia="楷体_GB2312" w:cs="微软雅黑"/>
          <w:color w:val="000000"/>
          <w:sz w:val="28"/>
          <w:szCs w:val="28"/>
        </w:rPr>
        <w:t>“贯标”认证作为通过上海市专利试点企业的可选项、专利示范企业的必选项，有些区县更是对通过专利试点示范的企业进行奖励，还有些区直接对通过贯标的企业进行奖励。上海浦东新区已设立了“小微企业创业创新基地城市示范”专项资金，对于通过贯标的小微企业，给予一次性10万元奖励，上海其他地区的激励政策也正在制定当中。</w:t>
      </w:r>
    </w:p>
    <w:p>
      <w:pPr>
        <w:pStyle w:val="2"/>
        <w:widowControl/>
        <w:spacing w:before="0" w:beforeAutospacing="0" w:after="0" w:afterAutospacing="0" w:line="360" w:lineRule="atLeast"/>
        <w:ind w:firstLine="562" w:firstLineChars="200"/>
        <w:rPr>
          <w:rFonts w:hint="eastAsia" w:ascii="楷体_GB2312" w:hAnsi="宋体" w:eastAsia="楷体_GB2312" w:cs="微软雅黑"/>
          <w:b/>
          <w:color w:val="000000"/>
          <w:sz w:val="28"/>
          <w:szCs w:val="28"/>
        </w:rPr>
      </w:pPr>
      <w:r>
        <w:rPr>
          <w:rFonts w:hint="eastAsia" w:ascii="楷体_GB2312" w:hAnsi="宋体" w:eastAsia="楷体_GB2312" w:cs="微软雅黑"/>
          <w:b/>
          <w:color w:val="000000"/>
          <w:sz w:val="28"/>
          <w:szCs w:val="28"/>
        </w:rPr>
        <w:t>3、“贯标”将成为企业承担重大科技项目的参评标准</w:t>
      </w:r>
    </w:p>
    <w:p>
      <w:pPr>
        <w:pStyle w:val="2"/>
        <w:widowControl/>
        <w:spacing w:before="0" w:beforeAutospacing="0" w:after="0" w:afterAutospacing="0" w:line="360" w:lineRule="atLeast"/>
        <w:ind w:firstLine="560" w:firstLineChars="200"/>
        <w:rPr>
          <w:rFonts w:hint="eastAsia" w:ascii="楷体_GB2312" w:hAnsi="宋体" w:eastAsia="楷体_GB2312" w:cs="微软雅黑"/>
          <w:color w:val="000000"/>
          <w:sz w:val="28"/>
          <w:szCs w:val="28"/>
        </w:rPr>
      </w:pPr>
      <w:r>
        <w:rPr>
          <w:rFonts w:hint="eastAsia" w:ascii="楷体_GB2312" w:hAnsi="宋体" w:eastAsia="楷体_GB2312" w:cs="微软雅黑"/>
          <w:color w:val="000000"/>
          <w:sz w:val="28"/>
          <w:szCs w:val="28"/>
        </w:rPr>
        <w:t>在承担重大政府项目的评选过程中，对知识产权水平的衡量已经成为一个重要的部分。企业是否通过“贯标”，将成为其能否承担各类重大科技项目的重要参评标准。从各级政府部门拟定各项政策信息分析，越来越多的项目参评或结项过程中必将引入“贯标”认证这一要素。</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095E8A"/>
    <w:rsid w:val="04095E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2016-05-11T01:12:00Z</dcterms:created>
  <dc:creator>MrYu</dc:creator>
  <cp:lastModifiedBy>MrYu</cp:lastModifiedBy>
  <dcterms:modified xsi:type="dcterms:W3CDTF">2016-05-11T01:13:00Z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